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FC" w:rsidRDefault="001037FC" w:rsidP="001037FC">
      <w:pPr>
        <w:widowControl/>
        <w:shd w:val="clear" w:color="auto" w:fill="FFFFFF"/>
        <w:wordWrap/>
        <w:autoSpaceDE/>
        <w:autoSpaceDN/>
        <w:spacing w:after="0" w:line="288" w:lineRule="atLeast"/>
        <w:jc w:val="left"/>
        <w:textAlignment w:val="baseline"/>
        <w:rPr>
          <w:rFonts w:ascii="Arial" w:eastAsia="Gulim" w:hAnsi="Arial" w:cs="Arial"/>
          <w:b/>
          <w:bCs/>
          <w:color w:val="363636"/>
          <w:kern w:val="0"/>
          <w:sz w:val="32"/>
          <w:szCs w:val="20"/>
        </w:rPr>
      </w:pPr>
      <w:r w:rsidRPr="001037FC">
        <w:rPr>
          <w:rFonts w:ascii="Arial" w:eastAsia="Gulim" w:hAnsi="Arial" w:cs="Arial" w:hint="eastAsia"/>
          <w:b/>
          <w:bCs/>
          <w:color w:val="363636"/>
          <w:kern w:val="0"/>
          <w:sz w:val="32"/>
          <w:szCs w:val="20"/>
        </w:rPr>
        <w:t>GM Oil ATF Specifications</w:t>
      </w:r>
    </w:p>
    <w:p w:rsidR="001037FC" w:rsidRDefault="001037FC" w:rsidP="001037FC">
      <w:pPr>
        <w:widowControl/>
        <w:shd w:val="clear" w:color="auto" w:fill="FFFFFF"/>
        <w:wordWrap/>
        <w:autoSpaceDE/>
        <w:autoSpaceDN/>
        <w:spacing w:after="0" w:line="288" w:lineRule="atLeast"/>
        <w:jc w:val="left"/>
        <w:textAlignment w:val="baseline"/>
        <w:rPr>
          <w:rFonts w:ascii="Arial" w:eastAsia="Gulim" w:hAnsi="Arial" w:cs="Arial"/>
          <w:b/>
          <w:bCs/>
          <w:color w:val="363636"/>
          <w:kern w:val="0"/>
          <w:sz w:val="32"/>
          <w:szCs w:val="20"/>
        </w:rPr>
      </w:pP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0"/>
        <w:textAlignment w:val="baseline"/>
        <w:rPr>
          <w:rFonts w:ascii="Arial" w:eastAsia="Gulim" w:hAnsi="Arial" w:cs="Arial"/>
          <w:b/>
          <w:bCs/>
          <w:color w:val="363636"/>
          <w:kern w:val="0"/>
          <w:sz w:val="24"/>
          <w:szCs w:val="20"/>
        </w:rPr>
      </w:pPr>
      <w:r w:rsidRPr="00285B6D">
        <w:rPr>
          <w:rFonts w:ascii="Arial" w:eastAsia="Gulim" w:hAnsi="Arial" w:cs="Arial" w:hint="eastAsia"/>
          <w:b/>
          <w:bCs/>
          <w:color w:val="363636"/>
          <w:kern w:val="0"/>
          <w:sz w:val="24"/>
          <w:szCs w:val="20"/>
        </w:rPr>
        <w:t>1. History</w:t>
      </w: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0"/>
        <w:textAlignment w:val="baseline"/>
        <w:rPr>
          <w:rFonts w:ascii="Arial" w:eastAsia="Gulim" w:hAnsi="Arial" w:cs="Arial"/>
          <w:bCs/>
          <w:color w:val="363636"/>
          <w:kern w:val="0"/>
          <w:szCs w:val="20"/>
        </w:rPr>
      </w:pP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0"/>
        <w:textAlignment w:val="baseline"/>
        <w:rPr>
          <w:rFonts w:ascii="Arial" w:eastAsia="Gulim" w:hAnsi="Arial" w:cs="Arial"/>
          <w:b/>
          <w:bCs/>
          <w:color w:val="363636"/>
          <w:kern w:val="0"/>
          <w:szCs w:val="20"/>
        </w:rPr>
      </w:pPr>
      <w:r w:rsidRPr="00285B6D">
        <w:rPr>
          <w:rFonts w:ascii="Arial" w:eastAsia="Gulim" w:hAnsi="Arial" w:cs="Arial"/>
          <w:b/>
          <w:bCs/>
          <w:color w:val="363636"/>
          <w:kern w:val="0"/>
          <w:szCs w:val="20"/>
        </w:rPr>
        <w:t xml:space="preserve">Dexron Type </w:t>
      </w:r>
      <w:proofErr w:type="gramStart"/>
      <w:r w:rsidRPr="00285B6D">
        <w:rPr>
          <w:rFonts w:ascii="Arial" w:eastAsia="Gulim" w:hAnsi="Arial" w:cs="Arial"/>
          <w:b/>
          <w:bCs/>
          <w:color w:val="363636"/>
          <w:kern w:val="0"/>
          <w:szCs w:val="20"/>
        </w:rPr>
        <w:t>A</w:t>
      </w:r>
      <w:proofErr w:type="gramEnd"/>
      <w:r w:rsidRPr="00285B6D">
        <w:rPr>
          <w:rFonts w:ascii="Arial" w:eastAsia="Gulim" w:hAnsi="Arial" w:cs="Arial"/>
          <w:b/>
          <w:bCs/>
          <w:color w:val="363636"/>
          <w:kern w:val="0"/>
          <w:szCs w:val="20"/>
        </w:rPr>
        <w:t>, Suffix A</w:t>
      </w: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150"/>
        <w:ind w:left="720"/>
        <w:textAlignment w:val="baseline"/>
        <w:rPr>
          <w:rFonts w:asciiTheme="majorHAnsi" w:eastAsiaTheme="majorHAnsi" w:hAnsiTheme="majorHAnsi" w:cs="Arial"/>
          <w:color w:val="363636"/>
          <w:kern w:val="0"/>
          <w:szCs w:val="20"/>
        </w:rPr>
      </w:pPr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Specification introduced in 1957. It requires the oil to meet certain limits regarding its kinematic viscosity.</w:t>
      </w: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0"/>
        <w:textAlignment w:val="baseline"/>
        <w:rPr>
          <w:rFonts w:asciiTheme="majorHAnsi" w:eastAsiaTheme="majorHAnsi" w:hAnsiTheme="majorHAnsi" w:cs="Arial"/>
          <w:b/>
          <w:bCs/>
          <w:color w:val="363636"/>
          <w:kern w:val="0"/>
          <w:szCs w:val="20"/>
        </w:rPr>
      </w:pPr>
      <w:r w:rsidRPr="00285B6D">
        <w:rPr>
          <w:rFonts w:asciiTheme="majorHAnsi" w:eastAsiaTheme="majorHAnsi" w:hAnsiTheme="majorHAnsi" w:cs="Arial"/>
          <w:b/>
          <w:bCs/>
          <w:color w:val="363636"/>
          <w:kern w:val="0"/>
          <w:szCs w:val="20"/>
        </w:rPr>
        <w:t>Dexron IID</w:t>
      </w: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150"/>
        <w:ind w:left="720"/>
        <w:textAlignment w:val="baseline"/>
        <w:rPr>
          <w:rFonts w:asciiTheme="majorHAnsi" w:eastAsiaTheme="majorHAnsi" w:hAnsiTheme="majorHAnsi" w:cs="Arial"/>
          <w:color w:val="363636"/>
          <w:kern w:val="0"/>
          <w:szCs w:val="20"/>
        </w:rPr>
      </w:pPr>
      <w:proofErr w:type="gramStart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General Motors Dexron®-IID Specification.</w:t>
      </w:r>
      <w:proofErr w:type="gramEnd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 xml:space="preserve"> ATF issued in 1975. Contained ATF cooler corrosion requirements not listed in Dexron® - II.</w:t>
      </w: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0"/>
        <w:textAlignment w:val="baseline"/>
        <w:rPr>
          <w:rFonts w:asciiTheme="majorHAnsi" w:eastAsiaTheme="majorHAnsi" w:hAnsiTheme="majorHAnsi" w:cs="Arial"/>
          <w:b/>
          <w:bCs/>
          <w:color w:val="363636"/>
          <w:kern w:val="0"/>
          <w:szCs w:val="20"/>
        </w:rPr>
      </w:pPr>
      <w:r w:rsidRPr="00285B6D">
        <w:rPr>
          <w:rFonts w:asciiTheme="majorHAnsi" w:eastAsiaTheme="majorHAnsi" w:hAnsiTheme="majorHAnsi" w:cs="Arial"/>
          <w:b/>
          <w:bCs/>
          <w:color w:val="363636"/>
          <w:kern w:val="0"/>
          <w:szCs w:val="20"/>
        </w:rPr>
        <w:t>Dexron IIE</w:t>
      </w: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150"/>
        <w:ind w:left="720"/>
        <w:textAlignment w:val="baseline"/>
        <w:rPr>
          <w:rFonts w:asciiTheme="majorHAnsi" w:eastAsiaTheme="majorHAnsi" w:hAnsiTheme="majorHAnsi" w:cs="Arial"/>
          <w:color w:val="363636"/>
          <w:kern w:val="0"/>
          <w:szCs w:val="20"/>
        </w:rPr>
      </w:pPr>
      <w:proofErr w:type="gramStart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General</w:t>
      </w:r>
      <w:r w:rsidR="00285B6D" w:rsidRPr="00285B6D">
        <w:rPr>
          <w:rFonts w:asciiTheme="majorHAnsi" w:eastAsiaTheme="majorHAnsi" w:hAnsiTheme="majorHAnsi" w:cs="Arial" w:hint="eastAsia"/>
          <w:color w:val="363636"/>
          <w:kern w:val="0"/>
          <w:szCs w:val="20"/>
        </w:rPr>
        <w:t xml:space="preserve"> </w:t>
      </w:r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Motors Specification Dexron®-IIE.</w:t>
      </w:r>
      <w:proofErr w:type="gramEnd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 xml:space="preserve"> ATF issued in 1991 requiring improved low temperature performance compared to Dexron®-IID, 20 000 </w:t>
      </w:r>
      <w:proofErr w:type="spellStart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cP</w:t>
      </w:r>
      <w:proofErr w:type="spellEnd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 xml:space="preserve"> at minus 40 °C.</w:t>
      </w: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0"/>
        <w:textAlignment w:val="baseline"/>
        <w:rPr>
          <w:rFonts w:asciiTheme="majorHAnsi" w:eastAsiaTheme="majorHAnsi" w:hAnsiTheme="majorHAnsi" w:cs="Arial"/>
          <w:b/>
          <w:bCs/>
          <w:color w:val="363636"/>
          <w:kern w:val="0"/>
          <w:szCs w:val="20"/>
        </w:rPr>
      </w:pPr>
      <w:r w:rsidRPr="00285B6D">
        <w:rPr>
          <w:rFonts w:asciiTheme="majorHAnsi" w:eastAsiaTheme="majorHAnsi" w:hAnsiTheme="majorHAnsi" w:cs="Arial"/>
          <w:b/>
          <w:bCs/>
          <w:color w:val="363636"/>
          <w:kern w:val="0"/>
          <w:szCs w:val="20"/>
        </w:rPr>
        <w:t>Dexron IIIF</w:t>
      </w: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150"/>
        <w:ind w:left="720"/>
        <w:textAlignment w:val="baseline"/>
        <w:rPr>
          <w:rFonts w:asciiTheme="majorHAnsi" w:eastAsiaTheme="majorHAnsi" w:hAnsiTheme="majorHAnsi" w:cs="Arial"/>
          <w:color w:val="363636"/>
          <w:kern w:val="0"/>
          <w:szCs w:val="20"/>
        </w:rPr>
      </w:pPr>
      <w:proofErr w:type="gramStart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GM specification for Automatic transmission oil introduced in 1994.</w:t>
      </w:r>
      <w:proofErr w:type="gramEnd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 xml:space="preserve"> </w:t>
      </w:r>
      <w:proofErr w:type="gramStart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Successor of Dexron IID and IIE.</w:t>
      </w:r>
      <w:proofErr w:type="gramEnd"/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0"/>
        <w:textAlignment w:val="baseline"/>
        <w:rPr>
          <w:rFonts w:asciiTheme="majorHAnsi" w:eastAsiaTheme="majorHAnsi" w:hAnsiTheme="majorHAnsi" w:cs="Arial"/>
          <w:b/>
          <w:bCs/>
          <w:color w:val="363636"/>
          <w:kern w:val="0"/>
          <w:szCs w:val="20"/>
        </w:rPr>
      </w:pPr>
      <w:r w:rsidRPr="00285B6D">
        <w:rPr>
          <w:rFonts w:asciiTheme="majorHAnsi" w:eastAsiaTheme="majorHAnsi" w:hAnsiTheme="majorHAnsi" w:cs="Arial"/>
          <w:b/>
          <w:bCs/>
          <w:color w:val="363636"/>
          <w:kern w:val="0"/>
          <w:szCs w:val="20"/>
        </w:rPr>
        <w:t>Dexron IIIG</w:t>
      </w: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150"/>
        <w:ind w:left="720"/>
        <w:textAlignment w:val="baseline"/>
        <w:rPr>
          <w:rFonts w:asciiTheme="majorHAnsi" w:eastAsiaTheme="majorHAnsi" w:hAnsiTheme="majorHAnsi" w:cs="Arial"/>
          <w:color w:val="363636"/>
          <w:kern w:val="0"/>
          <w:szCs w:val="20"/>
        </w:rPr>
      </w:pPr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 xml:space="preserve">Successor of Dexron </w:t>
      </w:r>
      <w:proofErr w:type="gramStart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III(</w:t>
      </w:r>
      <w:proofErr w:type="gramEnd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F) automatic transmission fluid. This has the same low temperature characteristics as Dexron IIE, but with modifications to anti-</w:t>
      </w:r>
      <w:proofErr w:type="spellStart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oxidancy</w:t>
      </w:r>
      <w:proofErr w:type="spellEnd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 xml:space="preserve"> and friction material. </w:t>
      </w:r>
      <w:proofErr w:type="gramStart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Introduced in 1997.</w:t>
      </w:r>
      <w:proofErr w:type="gramEnd"/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0"/>
        <w:textAlignment w:val="baseline"/>
        <w:rPr>
          <w:rFonts w:asciiTheme="majorHAnsi" w:eastAsiaTheme="majorHAnsi" w:hAnsiTheme="majorHAnsi" w:cs="Arial"/>
          <w:b/>
          <w:bCs/>
          <w:color w:val="363636"/>
          <w:kern w:val="0"/>
          <w:szCs w:val="20"/>
        </w:rPr>
      </w:pPr>
      <w:r w:rsidRPr="00285B6D">
        <w:rPr>
          <w:rFonts w:asciiTheme="majorHAnsi" w:eastAsiaTheme="majorHAnsi" w:hAnsiTheme="majorHAnsi" w:cs="Arial"/>
          <w:b/>
          <w:bCs/>
          <w:color w:val="363636"/>
          <w:kern w:val="0"/>
          <w:szCs w:val="20"/>
        </w:rPr>
        <w:t>Dexron IIIH</w:t>
      </w: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150"/>
        <w:ind w:left="720"/>
        <w:textAlignment w:val="baseline"/>
        <w:rPr>
          <w:rFonts w:asciiTheme="majorHAnsi" w:eastAsiaTheme="majorHAnsi" w:hAnsiTheme="majorHAnsi" w:cs="Arial"/>
          <w:color w:val="363636"/>
          <w:kern w:val="0"/>
          <w:szCs w:val="20"/>
        </w:rPr>
      </w:pPr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 xml:space="preserve">Dexron III </w:t>
      </w:r>
      <w:proofErr w:type="spellStart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licence</w:t>
      </w:r>
      <w:proofErr w:type="spellEnd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 xml:space="preserve"> H was introduced in June 2003 to replace the Dexron III G fluid. It has </w:t>
      </w:r>
      <w:proofErr w:type="gramStart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 xml:space="preserve">an </w:t>
      </w:r>
      <w:proofErr w:type="spellStart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oxidatively</w:t>
      </w:r>
      <w:proofErr w:type="spellEnd"/>
      <w:proofErr w:type="gramEnd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 xml:space="preserve"> stable base oil (group 2 or group 3). Oils according to this specification have longer maintenance of friction properties and anti-</w:t>
      </w:r>
      <w:proofErr w:type="spellStart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shrudder</w:t>
      </w:r>
      <w:proofErr w:type="spellEnd"/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 xml:space="preserve"> properties, better foam control and a longer fluid life.</w:t>
      </w: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0"/>
        <w:textAlignment w:val="baseline"/>
        <w:rPr>
          <w:rFonts w:asciiTheme="majorHAnsi" w:eastAsiaTheme="majorHAnsi" w:hAnsiTheme="majorHAnsi" w:cs="Arial"/>
          <w:b/>
          <w:bCs/>
          <w:color w:val="363636"/>
          <w:kern w:val="0"/>
          <w:szCs w:val="20"/>
        </w:rPr>
      </w:pPr>
      <w:r w:rsidRPr="00285B6D">
        <w:rPr>
          <w:rFonts w:asciiTheme="majorHAnsi" w:eastAsiaTheme="majorHAnsi" w:hAnsiTheme="majorHAnsi" w:cs="Arial"/>
          <w:b/>
          <w:bCs/>
          <w:color w:val="363636"/>
          <w:kern w:val="0"/>
          <w:szCs w:val="20"/>
        </w:rPr>
        <w:t>Dexron VI</w:t>
      </w:r>
    </w:p>
    <w:p w:rsidR="001037FC" w:rsidRPr="00285B6D" w:rsidRDefault="001037FC" w:rsidP="00285B6D">
      <w:pPr>
        <w:widowControl/>
        <w:shd w:val="clear" w:color="auto" w:fill="FFFFFF"/>
        <w:wordWrap/>
        <w:autoSpaceDE/>
        <w:autoSpaceDN/>
        <w:spacing w:after="150"/>
        <w:ind w:left="720"/>
        <w:textAlignment w:val="baseline"/>
        <w:rPr>
          <w:rFonts w:asciiTheme="majorHAnsi" w:eastAsiaTheme="majorHAnsi" w:hAnsiTheme="majorHAnsi" w:cs="Arial"/>
          <w:color w:val="363636"/>
          <w:kern w:val="0"/>
          <w:szCs w:val="20"/>
        </w:rPr>
      </w:pPr>
      <w:r w:rsidRPr="00285B6D">
        <w:rPr>
          <w:rFonts w:asciiTheme="majorHAnsi" w:eastAsiaTheme="majorHAnsi" w:hAnsiTheme="majorHAnsi" w:cs="Arial"/>
          <w:color w:val="363636"/>
          <w:kern w:val="0"/>
          <w:szCs w:val="20"/>
        </w:rPr>
        <w:t>Specification introduced in 2005 to replace Dexron IIIH. This specification requires better stay-in-grade properties, oxidative stability and anti-foam characteristics. Oils meeting this specification can be used with extended drain intervals and are energy conserving.</w:t>
      </w:r>
    </w:p>
    <w:p w:rsidR="00D73519" w:rsidRDefault="007029D3"/>
    <w:p w:rsidR="00BC626F" w:rsidRDefault="00BC626F">
      <w:r>
        <w:rPr>
          <w:rFonts w:hint="eastAsia"/>
        </w:rPr>
        <w:t xml:space="preserve">* Then back </w:t>
      </w:r>
      <w:proofErr w:type="gramStart"/>
      <w:r>
        <w:rPr>
          <w:rFonts w:hint="eastAsia"/>
        </w:rPr>
        <w:t>number(</w:t>
      </w:r>
      <w:proofErr w:type="spellStart"/>
      <w:proofErr w:type="gramEnd"/>
      <w:r>
        <w:rPr>
          <w:rFonts w:hint="eastAsia"/>
        </w:rPr>
        <w:t>dexron</w:t>
      </w:r>
      <w:proofErr w:type="spellEnd"/>
      <w:r>
        <w:rPr>
          <w:rFonts w:hint="eastAsia"/>
        </w:rPr>
        <w:t xml:space="preserve"> </w:t>
      </w:r>
      <w:r w:rsidRPr="00BC626F">
        <w:rPr>
          <w:rFonts w:hint="eastAsia"/>
          <w:b/>
          <w:color w:val="FF0000"/>
        </w:rPr>
        <w:t>XX</w:t>
      </w:r>
      <w:r>
        <w:rPr>
          <w:rFonts w:hint="eastAsia"/>
        </w:rPr>
        <w:t>) is higher, get more improved friction stability, viscosity stability, oxidation resistance and so on.</w:t>
      </w:r>
      <w:bookmarkStart w:id="0" w:name="_GoBack"/>
      <w:bookmarkEnd w:id="0"/>
    </w:p>
    <w:p w:rsidR="001037FC" w:rsidRPr="001037FC" w:rsidRDefault="001037FC">
      <w:pPr>
        <w:rPr>
          <w:b/>
          <w:sz w:val="24"/>
        </w:rPr>
      </w:pPr>
      <w:r w:rsidRPr="001037FC">
        <w:rPr>
          <w:rFonts w:hint="eastAsia"/>
          <w:b/>
          <w:sz w:val="24"/>
        </w:rPr>
        <w:lastRenderedPageBreak/>
        <w:t>2. Contents</w:t>
      </w:r>
    </w:p>
    <w:p w:rsidR="00562B9E" w:rsidRPr="001037FC" w:rsidRDefault="00562B9E" w:rsidP="00562B9E">
      <w:pPr>
        <w:widowControl/>
        <w:shd w:val="clear" w:color="auto" w:fill="FFFFFF"/>
        <w:wordWrap/>
        <w:autoSpaceDE/>
        <w:autoSpaceDN/>
        <w:spacing w:after="0" w:line="288" w:lineRule="atLeast"/>
        <w:jc w:val="left"/>
        <w:textAlignment w:val="baseline"/>
        <w:rPr>
          <w:rFonts w:ascii="Arial" w:eastAsia="Gulim" w:hAnsi="Arial" w:cs="Arial"/>
          <w:b/>
          <w:bCs/>
          <w:color w:val="363636"/>
          <w:kern w:val="0"/>
          <w:szCs w:val="20"/>
        </w:rPr>
      </w:pPr>
    </w:p>
    <w:tbl>
      <w:tblPr>
        <w:tblStyle w:val="a3"/>
        <w:tblW w:w="0" w:type="auto"/>
        <w:tblLook w:val="04A0"/>
      </w:tblPr>
      <w:tblGrid>
        <w:gridCol w:w="1952"/>
        <w:gridCol w:w="1875"/>
        <w:gridCol w:w="1875"/>
        <w:gridCol w:w="1875"/>
        <w:gridCol w:w="1665"/>
      </w:tblGrid>
      <w:tr w:rsidR="00D4142B" w:rsidTr="00285B6D">
        <w:tc>
          <w:tcPr>
            <w:tcW w:w="1952" w:type="dxa"/>
            <w:vAlign w:val="center"/>
          </w:tcPr>
          <w:p w:rsidR="00D4142B" w:rsidRDefault="00D4142B" w:rsidP="00285B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5" w:type="dxa"/>
            <w:vAlign w:val="center"/>
          </w:tcPr>
          <w:p w:rsidR="00D4142B" w:rsidRDefault="00D4142B" w:rsidP="00285B6D">
            <w:pPr>
              <w:spacing w:line="276" w:lineRule="auto"/>
              <w:jc w:val="center"/>
              <w:rPr>
                <w:b/>
              </w:rPr>
            </w:pPr>
            <w:r w:rsidRPr="001037FC">
              <w:rPr>
                <w:rFonts w:hint="eastAsia"/>
                <w:b/>
              </w:rPr>
              <w:t>GT ATF Type-II</w:t>
            </w:r>
          </w:p>
        </w:tc>
        <w:tc>
          <w:tcPr>
            <w:tcW w:w="1875" w:type="dxa"/>
            <w:vAlign w:val="center"/>
          </w:tcPr>
          <w:p w:rsidR="00D4142B" w:rsidRDefault="00D4142B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GT ATF Type-III</w:t>
            </w:r>
          </w:p>
        </w:tc>
        <w:tc>
          <w:tcPr>
            <w:tcW w:w="1875" w:type="dxa"/>
            <w:vAlign w:val="center"/>
          </w:tcPr>
          <w:p w:rsidR="00D4142B" w:rsidRDefault="00D4142B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GT ATF Type-IV</w:t>
            </w:r>
          </w:p>
          <w:p w:rsidR="00D4142B" w:rsidRDefault="00D4142B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Multi Vehicle</w:t>
            </w:r>
          </w:p>
          <w:p w:rsidR="00285B6D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H</w:t>
            </w:r>
            <w:r>
              <w:rPr>
                <w:rFonts w:hint="eastAsia"/>
                <w:b/>
              </w:rPr>
              <w:t>igh viscosity)</w:t>
            </w:r>
          </w:p>
        </w:tc>
        <w:tc>
          <w:tcPr>
            <w:tcW w:w="1665" w:type="dxa"/>
            <w:vAlign w:val="center"/>
          </w:tcPr>
          <w:p w:rsidR="00D4142B" w:rsidRDefault="00D4142B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ATF MLV 6</w:t>
            </w:r>
          </w:p>
          <w:p w:rsidR="00285B6D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ow viscosity)</w:t>
            </w:r>
          </w:p>
        </w:tc>
      </w:tr>
      <w:tr w:rsidR="00D4142B" w:rsidTr="00285B6D">
        <w:tc>
          <w:tcPr>
            <w:tcW w:w="1952" w:type="dxa"/>
            <w:vAlign w:val="center"/>
          </w:tcPr>
          <w:p w:rsidR="00D4142B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Gulim" w:eastAsia="Gulim" w:hAnsi="Gulim" w:hint="eastAsia"/>
                <w:b/>
                <w:bCs/>
              </w:rPr>
              <w:t>Spec</w:t>
            </w:r>
          </w:p>
        </w:tc>
        <w:tc>
          <w:tcPr>
            <w:tcW w:w="1875" w:type="dxa"/>
            <w:vAlign w:val="center"/>
          </w:tcPr>
          <w:p w:rsidR="00D4142B" w:rsidRDefault="00D4142B" w:rsidP="00285B6D">
            <w:pPr>
              <w:spacing w:line="276" w:lineRule="auto"/>
              <w:jc w:val="center"/>
              <w:rPr>
                <w:b/>
              </w:rPr>
            </w:pPr>
            <w:r w:rsidRPr="001037FC">
              <w:rPr>
                <w:rFonts w:ascii="Arial" w:eastAsia="Gulim" w:hAnsi="Arial" w:cs="Arial"/>
                <w:b/>
                <w:bCs/>
                <w:color w:val="363636"/>
                <w:kern w:val="0"/>
                <w:szCs w:val="20"/>
              </w:rPr>
              <w:t>Dexron IID</w:t>
            </w:r>
            <w:r w:rsidR="00285B6D">
              <w:rPr>
                <w:rFonts w:ascii="Arial" w:eastAsia="Gulim" w:hAnsi="Arial" w:cs="Arial" w:hint="eastAsia"/>
                <w:b/>
                <w:bCs/>
                <w:color w:val="363636"/>
                <w:kern w:val="0"/>
                <w:szCs w:val="20"/>
              </w:rPr>
              <w:t>-</w:t>
            </w:r>
            <w:r w:rsidR="00285B6D" w:rsidRPr="004F64AC">
              <w:rPr>
                <w:rFonts w:ascii="Arial" w:eastAsia="Gulim" w:hAnsi="Arial" w:cs="Arial"/>
                <w:b/>
                <w:bCs/>
                <w:color w:val="363636"/>
                <w:kern w:val="0"/>
                <w:szCs w:val="20"/>
              </w:rPr>
              <w:t xml:space="preserve"> obsolete</w:t>
            </w:r>
          </w:p>
        </w:tc>
        <w:tc>
          <w:tcPr>
            <w:tcW w:w="1875" w:type="dxa"/>
            <w:vAlign w:val="center"/>
          </w:tcPr>
          <w:p w:rsidR="00D4142B" w:rsidRDefault="00D4142B" w:rsidP="00285B6D">
            <w:pPr>
              <w:spacing w:line="276" w:lineRule="auto"/>
              <w:jc w:val="center"/>
              <w:rPr>
                <w:b/>
              </w:rPr>
            </w:pPr>
            <w:r w:rsidRPr="001037FC">
              <w:rPr>
                <w:rFonts w:ascii="Arial" w:eastAsia="Gulim" w:hAnsi="Arial" w:cs="Arial"/>
                <w:b/>
                <w:bCs/>
                <w:color w:val="363636"/>
                <w:kern w:val="0"/>
                <w:szCs w:val="20"/>
              </w:rPr>
              <w:t>Dexron II</w:t>
            </w:r>
            <w:r w:rsidRPr="001037FC">
              <w:rPr>
                <w:rFonts w:ascii="Arial" w:eastAsia="Gulim" w:hAnsi="Arial" w:cs="Arial" w:hint="eastAsia"/>
                <w:b/>
                <w:bCs/>
                <w:color w:val="363636"/>
                <w:kern w:val="0"/>
                <w:szCs w:val="20"/>
              </w:rPr>
              <w:t>I(H)</w:t>
            </w:r>
            <w:r w:rsidR="00285B6D">
              <w:rPr>
                <w:rFonts w:ascii="Arial" w:eastAsia="Gulim" w:hAnsi="Arial" w:cs="Arial" w:hint="eastAsia"/>
                <w:b/>
                <w:bCs/>
                <w:color w:val="363636"/>
                <w:kern w:val="0"/>
                <w:szCs w:val="20"/>
              </w:rPr>
              <w:t>-</w:t>
            </w:r>
            <w:r w:rsidR="00285B6D" w:rsidRPr="004F64AC">
              <w:rPr>
                <w:rFonts w:ascii="Arial" w:eastAsia="Gulim" w:hAnsi="Arial" w:cs="Arial"/>
                <w:b/>
                <w:bCs/>
                <w:color w:val="363636"/>
                <w:kern w:val="0"/>
                <w:szCs w:val="20"/>
              </w:rPr>
              <w:t xml:space="preserve"> obsolete</w:t>
            </w:r>
          </w:p>
        </w:tc>
        <w:tc>
          <w:tcPr>
            <w:tcW w:w="1875" w:type="dxa"/>
            <w:vAlign w:val="center"/>
          </w:tcPr>
          <w:p w:rsidR="00285B6D" w:rsidRDefault="00D4142B" w:rsidP="00285B6D">
            <w:pPr>
              <w:spacing w:line="276" w:lineRule="auto"/>
              <w:jc w:val="center"/>
              <w:rPr>
                <w:rFonts w:ascii="Arial" w:eastAsia="Gulim" w:hAnsi="Arial" w:cs="Arial"/>
                <w:b/>
                <w:bCs/>
                <w:color w:val="363636"/>
                <w:kern w:val="0"/>
                <w:szCs w:val="20"/>
              </w:rPr>
            </w:pPr>
            <w:r>
              <w:rPr>
                <w:rFonts w:ascii="Arial" w:eastAsia="Gulim" w:hAnsi="Arial" w:cs="Arial"/>
                <w:b/>
                <w:bCs/>
                <w:color w:val="363636"/>
                <w:kern w:val="0"/>
                <w:szCs w:val="20"/>
              </w:rPr>
              <w:t xml:space="preserve">Dexron </w:t>
            </w:r>
            <w:r>
              <w:rPr>
                <w:rFonts w:ascii="Arial" w:eastAsia="Gulim" w:hAnsi="Arial" w:cs="Arial" w:hint="eastAsia"/>
                <w:b/>
                <w:bCs/>
                <w:color w:val="363636"/>
                <w:kern w:val="0"/>
                <w:szCs w:val="20"/>
              </w:rPr>
              <w:t>VI</w:t>
            </w:r>
            <w:r w:rsidR="00285B6D">
              <w:rPr>
                <w:rFonts w:ascii="Arial" w:eastAsia="Gulim" w:hAnsi="Arial" w:cs="Arial" w:hint="eastAsia"/>
                <w:b/>
                <w:bCs/>
                <w:color w:val="363636"/>
                <w:kern w:val="0"/>
                <w:szCs w:val="20"/>
              </w:rPr>
              <w:t>- continued</w:t>
            </w:r>
          </w:p>
          <w:p w:rsidR="00D4142B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eastAsia="Gulim" w:hAnsi="Arial" w:cs="Arial" w:hint="eastAsia"/>
                <w:b/>
                <w:bCs/>
                <w:color w:val="363636"/>
                <w:kern w:val="0"/>
                <w:szCs w:val="20"/>
              </w:rPr>
              <w:t>and so on</w:t>
            </w:r>
          </w:p>
        </w:tc>
        <w:tc>
          <w:tcPr>
            <w:tcW w:w="1665" w:type="dxa"/>
            <w:vAlign w:val="center"/>
          </w:tcPr>
          <w:p w:rsidR="00285B6D" w:rsidRDefault="00285B6D" w:rsidP="00285B6D">
            <w:pPr>
              <w:spacing w:line="276" w:lineRule="auto"/>
              <w:jc w:val="center"/>
              <w:rPr>
                <w:rFonts w:ascii="Arial" w:eastAsia="Gulim" w:hAnsi="Arial" w:cs="Arial"/>
                <w:b/>
                <w:bCs/>
                <w:color w:val="363636"/>
                <w:kern w:val="0"/>
                <w:szCs w:val="20"/>
              </w:rPr>
            </w:pPr>
            <w:r>
              <w:rPr>
                <w:rFonts w:ascii="Arial" w:eastAsia="Gulim" w:hAnsi="Arial" w:cs="Arial"/>
                <w:b/>
                <w:bCs/>
                <w:color w:val="363636"/>
                <w:kern w:val="0"/>
                <w:szCs w:val="20"/>
              </w:rPr>
              <w:t xml:space="preserve">Dexron </w:t>
            </w:r>
            <w:r>
              <w:rPr>
                <w:rFonts w:ascii="Arial" w:eastAsia="Gulim" w:hAnsi="Arial" w:cs="Arial" w:hint="eastAsia"/>
                <w:b/>
                <w:bCs/>
                <w:color w:val="363636"/>
                <w:kern w:val="0"/>
                <w:szCs w:val="20"/>
              </w:rPr>
              <w:t>VI- continued</w:t>
            </w:r>
          </w:p>
          <w:p w:rsidR="00D4142B" w:rsidRDefault="00285B6D" w:rsidP="00285B6D">
            <w:pPr>
              <w:spacing w:line="276" w:lineRule="auto"/>
              <w:jc w:val="center"/>
              <w:rPr>
                <w:rFonts w:ascii="Arial" w:eastAsia="Gulim" w:hAnsi="Arial" w:cs="Arial"/>
                <w:b/>
                <w:bCs/>
                <w:color w:val="363636"/>
                <w:kern w:val="0"/>
                <w:szCs w:val="20"/>
              </w:rPr>
            </w:pPr>
            <w:r>
              <w:rPr>
                <w:rFonts w:ascii="Arial" w:eastAsia="Gulim" w:hAnsi="Arial" w:cs="Arial" w:hint="eastAsia"/>
                <w:b/>
                <w:bCs/>
                <w:color w:val="363636"/>
                <w:kern w:val="0"/>
                <w:szCs w:val="20"/>
              </w:rPr>
              <w:t>and so on</w:t>
            </w:r>
          </w:p>
        </w:tc>
      </w:tr>
      <w:tr w:rsidR="00D4142B" w:rsidTr="00285B6D">
        <w:tc>
          <w:tcPr>
            <w:tcW w:w="1952" w:type="dxa"/>
            <w:vAlign w:val="center"/>
          </w:tcPr>
          <w:p w:rsidR="00D4142B" w:rsidRPr="00D4142B" w:rsidRDefault="00D4142B" w:rsidP="00285B6D">
            <w:pPr>
              <w:spacing w:line="276" w:lineRule="auto"/>
              <w:jc w:val="center"/>
              <w:rPr>
                <w:b/>
              </w:rPr>
            </w:pPr>
            <w:r w:rsidRPr="00D4142B">
              <w:rPr>
                <w:b/>
              </w:rPr>
              <w:t>Kinematic Viscosity,</w:t>
            </w:r>
          </w:p>
          <w:p w:rsidR="00D4142B" w:rsidRDefault="00D4142B" w:rsidP="00285B6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4142B">
              <w:rPr>
                <w:b/>
              </w:rPr>
              <w:t>CSt</w:t>
            </w:r>
            <w:proofErr w:type="spellEnd"/>
            <w:r>
              <w:rPr>
                <w:rFonts w:hint="eastAsia"/>
                <w:b/>
              </w:rPr>
              <w:t xml:space="preserve">, </w:t>
            </w:r>
            <w:r>
              <w:rPr>
                <w:b/>
              </w:rPr>
              <w:t>@100</w:t>
            </w:r>
            <w:r>
              <w:rPr>
                <w:rFonts w:asciiTheme="minorEastAsia" w:hAnsiTheme="minorEastAsia" w:hint="eastAsia"/>
                <w:b/>
              </w:rPr>
              <w:t>℃</w:t>
            </w:r>
          </w:p>
        </w:tc>
        <w:tc>
          <w:tcPr>
            <w:tcW w:w="1875" w:type="dxa"/>
            <w:vAlign w:val="center"/>
          </w:tcPr>
          <w:p w:rsidR="00D4142B" w:rsidRDefault="00D4142B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6.</w:t>
            </w:r>
            <w:r w:rsidR="00285B6D">
              <w:rPr>
                <w:rFonts w:hint="eastAsia"/>
                <w:b/>
              </w:rPr>
              <w:t>xx</w:t>
            </w:r>
          </w:p>
        </w:tc>
        <w:tc>
          <w:tcPr>
            <w:tcW w:w="1875" w:type="dxa"/>
            <w:vAlign w:val="center"/>
          </w:tcPr>
          <w:p w:rsidR="00D4142B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6.xx</w:t>
            </w:r>
          </w:p>
        </w:tc>
        <w:tc>
          <w:tcPr>
            <w:tcW w:w="1875" w:type="dxa"/>
            <w:vAlign w:val="center"/>
          </w:tcPr>
          <w:p w:rsidR="00D4142B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7.xx</w:t>
            </w:r>
          </w:p>
        </w:tc>
        <w:tc>
          <w:tcPr>
            <w:tcW w:w="1665" w:type="dxa"/>
            <w:vAlign w:val="center"/>
          </w:tcPr>
          <w:p w:rsidR="00D4142B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5.xx</w:t>
            </w:r>
          </w:p>
        </w:tc>
      </w:tr>
      <w:tr w:rsidR="00D4142B" w:rsidTr="00285B6D">
        <w:tc>
          <w:tcPr>
            <w:tcW w:w="1952" w:type="dxa"/>
            <w:vAlign w:val="center"/>
          </w:tcPr>
          <w:p w:rsidR="00D4142B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feature</w:t>
            </w:r>
          </w:p>
        </w:tc>
        <w:tc>
          <w:tcPr>
            <w:tcW w:w="1875" w:type="dxa"/>
            <w:vAlign w:val="center"/>
          </w:tcPr>
          <w:p w:rsidR="00D4142B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4-5 speed</w:t>
            </w:r>
          </w:p>
        </w:tc>
        <w:tc>
          <w:tcPr>
            <w:tcW w:w="1875" w:type="dxa"/>
            <w:vAlign w:val="center"/>
          </w:tcPr>
          <w:p w:rsidR="00D4142B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4-5 speed</w:t>
            </w:r>
          </w:p>
          <w:p w:rsidR="00285B6D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 xml:space="preserve">ith </w:t>
            </w:r>
            <w:r w:rsidRPr="00285B6D">
              <w:rPr>
                <w:b/>
              </w:rPr>
              <w:t>Lock Up Clutch</w:t>
            </w:r>
          </w:p>
        </w:tc>
        <w:tc>
          <w:tcPr>
            <w:tcW w:w="1875" w:type="dxa"/>
            <w:vAlign w:val="center"/>
          </w:tcPr>
          <w:p w:rsidR="00D4142B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4-6 speed</w:t>
            </w:r>
          </w:p>
          <w:p w:rsidR="00285B6D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rFonts w:hint="eastAsia"/>
                <w:b/>
              </w:rPr>
              <w:t>ulti spec</w:t>
            </w:r>
          </w:p>
        </w:tc>
        <w:tc>
          <w:tcPr>
            <w:tcW w:w="1665" w:type="dxa"/>
            <w:vAlign w:val="center"/>
          </w:tcPr>
          <w:p w:rsidR="00D4142B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Only 6 speed</w:t>
            </w:r>
          </w:p>
          <w:p w:rsidR="00285B6D" w:rsidRDefault="00285B6D" w:rsidP="00285B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ow friction &amp; viscosity</w:t>
            </w:r>
          </w:p>
        </w:tc>
      </w:tr>
    </w:tbl>
    <w:p w:rsidR="00562B9E" w:rsidRDefault="00562B9E">
      <w:pPr>
        <w:rPr>
          <w:b/>
        </w:rPr>
      </w:pPr>
    </w:p>
    <w:p w:rsidR="00285B6D" w:rsidRPr="00562B9E" w:rsidRDefault="00285B6D">
      <w:pPr>
        <w:rPr>
          <w:b/>
        </w:rPr>
      </w:pPr>
    </w:p>
    <w:sectPr w:rsidR="00285B6D" w:rsidRPr="00562B9E" w:rsidSect="007952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037FC"/>
    <w:rsid w:val="001037FC"/>
    <w:rsid w:val="00176CDD"/>
    <w:rsid w:val="00285B6D"/>
    <w:rsid w:val="003C6A14"/>
    <w:rsid w:val="004F64AC"/>
    <w:rsid w:val="00562B9E"/>
    <w:rsid w:val="006832B4"/>
    <w:rsid w:val="007029D3"/>
    <w:rsid w:val="00780EA0"/>
    <w:rsid w:val="007952C1"/>
    <w:rsid w:val="00896B3A"/>
    <w:rsid w:val="00A60C23"/>
    <w:rsid w:val="00AB5C70"/>
    <w:rsid w:val="00AF6868"/>
    <w:rsid w:val="00B355DF"/>
    <w:rsid w:val="00BC626F"/>
    <w:rsid w:val="00CF1082"/>
    <w:rsid w:val="00D4142B"/>
    <w:rsid w:val="00EF2EB1"/>
    <w:rsid w:val="00FD5C2F"/>
    <w:rsid w:val="00FF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C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한국발보린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기술마케팅</dc:creator>
  <cp:lastModifiedBy>Пупков Дима</cp:lastModifiedBy>
  <cp:revision>2</cp:revision>
  <dcterms:created xsi:type="dcterms:W3CDTF">2015-08-25T11:20:00Z</dcterms:created>
  <dcterms:modified xsi:type="dcterms:W3CDTF">2015-08-25T11:20:00Z</dcterms:modified>
</cp:coreProperties>
</file>